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6F" w:rsidRDefault="00A4016F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drawing>
          <wp:inline distT="0" distB="0" distL="0" distR="0">
            <wp:extent cx="6080701" cy="6698512"/>
            <wp:effectExtent l="19050" t="0" r="15299" b="7088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62D8" w:rsidRDefault="007262D8">
      <w:pPr>
        <w:rPr>
          <w:sz w:val="48"/>
          <w:szCs w:val="48"/>
        </w:rPr>
      </w:pPr>
    </w:p>
    <w:p w:rsidR="007262D8" w:rsidRDefault="007262D8">
      <w:pPr>
        <w:rPr>
          <w:sz w:val="48"/>
          <w:szCs w:val="48"/>
        </w:rPr>
      </w:pPr>
    </w:p>
    <w:p w:rsidR="007262D8" w:rsidRDefault="007262D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</w:t>
      </w:r>
    </w:p>
    <w:p w:rsidR="007262D8" w:rsidRDefault="007262D8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</w:t>
      </w:r>
    </w:p>
    <w:p w:rsidR="00B66D87" w:rsidRDefault="007262D8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drawing>
          <wp:inline distT="0" distB="0" distL="0" distR="0">
            <wp:extent cx="5499720" cy="7612912"/>
            <wp:effectExtent l="19050" t="0" r="24780" b="7088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6D87" w:rsidRDefault="00B66D87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7262D8" w:rsidRDefault="00B66D8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</w:t>
      </w:r>
    </w:p>
    <w:p w:rsidR="00813C40" w:rsidRDefault="007262D8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813C40" w:rsidRPr="00813C40">
        <w:rPr>
          <w:noProof/>
          <w:sz w:val="48"/>
          <w:szCs w:val="48"/>
          <w:lang w:val="en-US"/>
        </w:rPr>
        <w:drawing>
          <wp:inline distT="0" distB="0" distL="0" distR="0">
            <wp:extent cx="5495275" cy="5741581"/>
            <wp:effectExtent l="19050" t="0" r="1017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3C40" w:rsidRDefault="00813C40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813C40" w:rsidRDefault="00813C40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lastRenderedPageBreak/>
        <w:drawing>
          <wp:inline distT="0" distB="0" distL="0" distR="0">
            <wp:extent cx="5495275" cy="5986130"/>
            <wp:effectExtent l="19050" t="0" r="1017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3C40" w:rsidRDefault="00813C40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CB1A9D" w:rsidRDefault="00813C40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lastRenderedPageBreak/>
        <w:drawing>
          <wp:inline distT="0" distB="0" distL="0" distR="0">
            <wp:extent cx="5490830" cy="7304567"/>
            <wp:effectExtent l="19050" t="0" r="1462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1A9D" w:rsidRDefault="00CB1A9D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5A5DE4" w:rsidRDefault="00CB1A9D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lastRenderedPageBreak/>
        <w:drawing>
          <wp:inline distT="0" distB="0" distL="0" distR="0">
            <wp:extent cx="5490830" cy="7113181"/>
            <wp:effectExtent l="19050" t="0" r="1462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6619" w:rsidRDefault="005A5DE4">
      <w:pPr>
        <w:rPr>
          <w:sz w:val="40"/>
          <w:szCs w:val="40"/>
        </w:rPr>
      </w:pPr>
      <w:r>
        <w:rPr>
          <w:sz w:val="48"/>
          <w:szCs w:val="48"/>
        </w:rPr>
        <w:br w:type="page"/>
      </w:r>
      <w:r w:rsidR="00386619" w:rsidRPr="00386619">
        <w:rPr>
          <w:sz w:val="40"/>
          <w:szCs w:val="40"/>
          <w:u w:val="single"/>
        </w:rPr>
        <w:lastRenderedPageBreak/>
        <w:t xml:space="preserve">SMT.CHANDIBAI HIMATHMAL MANSUKHANI COLLEGE </w:t>
      </w:r>
    </w:p>
    <w:p w:rsidR="00386619" w:rsidRDefault="00386619">
      <w:pPr>
        <w:rPr>
          <w:sz w:val="40"/>
          <w:szCs w:val="40"/>
        </w:rPr>
      </w:pPr>
    </w:p>
    <w:p w:rsidR="00386619" w:rsidRDefault="00386619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</w:t>
      </w:r>
      <w:r w:rsidRPr="00386619">
        <w:rPr>
          <w:sz w:val="40"/>
          <w:szCs w:val="40"/>
          <w:u w:val="single"/>
        </w:rPr>
        <w:t>TALK ON CAREERS IN PSYCHOLOGY</w:t>
      </w:r>
    </w:p>
    <w:p w:rsidR="00386619" w:rsidRDefault="00386619">
      <w:pPr>
        <w:rPr>
          <w:sz w:val="40"/>
          <w:szCs w:val="40"/>
          <w:u w:val="single"/>
        </w:rPr>
      </w:pPr>
    </w:p>
    <w:p w:rsidR="00386619" w:rsidRDefault="00386619">
      <w:pPr>
        <w:rPr>
          <w:sz w:val="40"/>
          <w:szCs w:val="40"/>
          <w:u w:val="single"/>
        </w:rPr>
      </w:pPr>
    </w:p>
    <w:p w:rsidR="00386619" w:rsidRDefault="00672C7F">
      <w:pPr>
        <w:rPr>
          <w:sz w:val="40"/>
          <w:szCs w:val="40"/>
        </w:rPr>
      </w:pPr>
      <w:r>
        <w:rPr>
          <w:sz w:val="40"/>
          <w:szCs w:val="40"/>
        </w:rPr>
        <w:t>Date</w:t>
      </w:r>
      <w:r w:rsidR="00386619">
        <w:rPr>
          <w:sz w:val="40"/>
          <w:szCs w:val="40"/>
        </w:rPr>
        <w:t xml:space="preserve"> :-  24</w:t>
      </w:r>
      <w:r w:rsidR="00386619" w:rsidRPr="0038661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January</w:t>
      </w:r>
      <w:r w:rsidR="00386619">
        <w:rPr>
          <w:sz w:val="40"/>
          <w:szCs w:val="40"/>
        </w:rPr>
        <w:t xml:space="preserve"> , 2019.</w:t>
      </w:r>
    </w:p>
    <w:p w:rsidR="00386619" w:rsidRDefault="00386619">
      <w:pPr>
        <w:rPr>
          <w:sz w:val="40"/>
          <w:szCs w:val="40"/>
        </w:rPr>
      </w:pPr>
    </w:p>
    <w:p w:rsidR="00386619" w:rsidRDefault="00386619" w:rsidP="00F66194">
      <w:pPr>
        <w:jc w:val="both"/>
        <w:rPr>
          <w:sz w:val="40"/>
          <w:szCs w:val="40"/>
        </w:rPr>
      </w:pPr>
      <w:r>
        <w:rPr>
          <w:sz w:val="40"/>
          <w:szCs w:val="40"/>
        </w:rPr>
        <w:t>The Department of Psychology and The Counseling cell of our college had organized a talk on “ Careers in Psychology”</w:t>
      </w:r>
      <w:r w:rsidR="00E55D1B">
        <w:rPr>
          <w:sz w:val="40"/>
          <w:szCs w:val="40"/>
        </w:rPr>
        <w:t xml:space="preserve"> for the students on 23</w:t>
      </w:r>
      <w:r w:rsidR="00E55D1B" w:rsidRPr="00E55D1B">
        <w:rPr>
          <w:sz w:val="40"/>
          <w:szCs w:val="40"/>
          <w:vertAlign w:val="superscript"/>
        </w:rPr>
        <w:t>rd</w:t>
      </w:r>
      <w:r w:rsidR="00672C7F">
        <w:rPr>
          <w:sz w:val="40"/>
          <w:szCs w:val="40"/>
        </w:rPr>
        <w:t xml:space="preserve"> January , 2019 at the G-18 Seminar Hall.</w:t>
      </w:r>
    </w:p>
    <w:p w:rsidR="00E55D1B" w:rsidRDefault="00386619" w:rsidP="00F66194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The event was attended by several guests including our Principal </w:t>
      </w:r>
      <w:r w:rsidR="00F66194">
        <w:rPr>
          <w:sz w:val="40"/>
          <w:szCs w:val="40"/>
        </w:rPr>
        <w:t>Dr.Manju Lalwani Pathak</w:t>
      </w:r>
      <w:r w:rsidR="00E55D1B">
        <w:rPr>
          <w:sz w:val="40"/>
          <w:szCs w:val="40"/>
        </w:rPr>
        <w:t xml:space="preserve">, Vice Principals </w:t>
      </w:r>
      <w:r w:rsidR="00F66194">
        <w:rPr>
          <w:sz w:val="40"/>
          <w:szCs w:val="40"/>
        </w:rPr>
        <w:t>Mrs. Ashwini Gokhale</w:t>
      </w:r>
      <w:r w:rsidR="00F66194">
        <w:rPr>
          <w:sz w:val="40"/>
          <w:szCs w:val="40"/>
        </w:rPr>
        <w:t xml:space="preserve">, </w:t>
      </w:r>
      <w:r w:rsidR="00F66194">
        <w:rPr>
          <w:sz w:val="40"/>
          <w:szCs w:val="40"/>
        </w:rPr>
        <w:t>Mr. Shivaji Kapse</w:t>
      </w:r>
      <w:r w:rsidR="00F66194">
        <w:rPr>
          <w:sz w:val="40"/>
          <w:szCs w:val="40"/>
        </w:rPr>
        <w:t xml:space="preserve"> and Mrs. Bhavna Bhinwani</w:t>
      </w:r>
      <w:r w:rsidR="00E55D1B">
        <w:rPr>
          <w:sz w:val="40"/>
          <w:szCs w:val="40"/>
        </w:rPr>
        <w:t xml:space="preserve"> , and </w:t>
      </w:r>
      <w:r w:rsidR="003D19B6">
        <w:rPr>
          <w:sz w:val="40"/>
          <w:szCs w:val="40"/>
        </w:rPr>
        <w:t>Head Of the Department (Psychology) , Dr</w:t>
      </w:r>
      <w:r w:rsidR="00E55D1B">
        <w:rPr>
          <w:sz w:val="40"/>
          <w:szCs w:val="40"/>
        </w:rPr>
        <w:t xml:space="preserve">. Jayashree Panicker along  with </w:t>
      </w:r>
      <w:r w:rsidR="003D19B6">
        <w:rPr>
          <w:sz w:val="40"/>
          <w:szCs w:val="40"/>
        </w:rPr>
        <w:t>Assistant P</w:t>
      </w:r>
      <w:r w:rsidR="00E55D1B">
        <w:rPr>
          <w:sz w:val="40"/>
          <w:szCs w:val="40"/>
        </w:rPr>
        <w:t>r</w:t>
      </w:r>
      <w:r w:rsidR="00672C7F">
        <w:rPr>
          <w:sz w:val="40"/>
          <w:szCs w:val="40"/>
        </w:rPr>
        <w:t xml:space="preserve">ofessors , </w:t>
      </w:r>
      <w:r w:rsidR="003D19B6">
        <w:rPr>
          <w:sz w:val="40"/>
          <w:szCs w:val="40"/>
        </w:rPr>
        <w:t xml:space="preserve">Mrs. </w:t>
      </w:r>
      <w:r w:rsidR="00672C7F">
        <w:rPr>
          <w:sz w:val="40"/>
          <w:szCs w:val="40"/>
        </w:rPr>
        <w:t xml:space="preserve">Vandana Solanki </w:t>
      </w:r>
      <w:r w:rsidR="00E55D1B">
        <w:rPr>
          <w:sz w:val="40"/>
          <w:szCs w:val="40"/>
        </w:rPr>
        <w:t xml:space="preserve"> and </w:t>
      </w:r>
      <w:r w:rsidR="003D19B6">
        <w:rPr>
          <w:sz w:val="40"/>
          <w:szCs w:val="40"/>
        </w:rPr>
        <w:t>Mrs.</w:t>
      </w:r>
      <w:r w:rsidR="00E55D1B">
        <w:rPr>
          <w:sz w:val="40"/>
          <w:szCs w:val="40"/>
        </w:rPr>
        <w:t>Sitara Menon were also in attendance.</w:t>
      </w:r>
      <w:r w:rsidR="00672C7F">
        <w:rPr>
          <w:sz w:val="40"/>
          <w:szCs w:val="40"/>
        </w:rPr>
        <w:t xml:space="preserve"> </w:t>
      </w:r>
      <w:r w:rsidR="00E55D1B">
        <w:rPr>
          <w:sz w:val="40"/>
          <w:szCs w:val="40"/>
        </w:rPr>
        <w:t>The guest speaker for conducting the talk was Mr. Swapnil Pange</w:t>
      </w:r>
      <w:r w:rsidR="003D19B6">
        <w:rPr>
          <w:sz w:val="40"/>
          <w:szCs w:val="40"/>
        </w:rPr>
        <w:t>, M.A. (Clinical Psychology)</w:t>
      </w:r>
      <w:r w:rsidR="00E55D1B">
        <w:rPr>
          <w:sz w:val="40"/>
          <w:szCs w:val="40"/>
        </w:rPr>
        <w:t>.</w:t>
      </w:r>
    </w:p>
    <w:p w:rsidR="00E55D1B" w:rsidRDefault="00E55D1B">
      <w:pPr>
        <w:rPr>
          <w:sz w:val="40"/>
          <w:szCs w:val="40"/>
        </w:rPr>
      </w:pPr>
    </w:p>
    <w:p w:rsidR="00E55D1B" w:rsidRDefault="00E55D1B" w:rsidP="003D19B6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The event started of</w:t>
      </w:r>
      <w:r w:rsidR="00672C7F">
        <w:rPr>
          <w:sz w:val="40"/>
          <w:szCs w:val="40"/>
        </w:rPr>
        <w:t>f</w:t>
      </w:r>
      <w:r>
        <w:rPr>
          <w:sz w:val="40"/>
          <w:szCs w:val="40"/>
        </w:rPr>
        <w:t xml:space="preserve"> with an introduction by TYBA Psycholog</w:t>
      </w:r>
      <w:r w:rsidR="00672C7F">
        <w:rPr>
          <w:sz w:val="40"/>
          <w:szCs w:val="40"/>
        </w:rPr>
        <w:t>y</w:t>
      </w:r>
      <w:r w:rsidR="003D19B6">
        <w:rPr>
          <w:sz w:val="40"/>
          <w:szCs w:val="40"/>
        </w:rPr>
        <w:t xml:space="preserve"> student , Miss Mahek Vasandani.Later,</w:t>
      </w:r>
      <w:r w:rsidR="006E2053">
        <w:rPr>
          <w:sz w:val="40"/>
          <w:szCs w:val="40"/>
        </w:rPr>
        <w:t xml:space="preserve"> </w:t>
      </w:r>
      <w:r w:rsidR="003D19B6">
        <w:rPr>
          <w:sz w:val="40"/>
          <w:szCs w:val="40"/>
        </w:rPr>
        <w:t>P</w:t>
      </w:r>
      <w:r w:rsidR="006E2053">
        <w:rPr>
          <w:sz w:val="40"/>
          <w:szCs w:val="40"/>
        </w:rPr>
        <w:t>rincipal</w:t>
      </w:r>
      <w:r w:rsidR="003D19B6">
        <w:rPr>
          <w:sz w:val="40"/>
          <w:szCs w:val="40"/>
        </w:rPr>
        <w:t xml:space="preserve"> Dr. Manju Lalwani Pathak</w:t>
      </w:r>
      <w:r w:rsidR="006E2053">
        <w:rPr>
          <w:sz w:val="40"/>
          <w:szCs w:val="40"/>
        </w:rPr>
        <w:t xml:space="preserve"> gave a small speech on how the session would be useful for students in future. The introduction was later carried on by HOD </w:t>
      </w:r>
      <w:r w:rsidR="003D19B6">
        <w:rPr>
          <w:sz w:val="40"/>
          <w:szCs w:val="40"/>
        </w:rPr>
        <w:t>Dr. Jayashree Panicker</w:t>
      </w:r>
      <w:r w:rsidR="006E2053">
        <w:rPr>
          <w:sz w:val="40"/>
          <w:szCs w:val="40"/>
        </w:rPr>
        <w:t xml:space="preserve"> and later by </w:t>
      </w:r>
      <w:r w:rsidR="003D19B6">
        <w:rPr>
          <w:sz w:val="40"/>
          <w:szCs w:val="40"/>
        </w:rPr>
        <w:t xml:space="preserve">Assistant </w:t>
      </w:r>
      <w:r w:rsidR="006E2053">
        <w:rPr>
          <w:sz w:val="40"/>
          <w:szCs w:val="40"/>
        </w:rPr>
        <w:t xml:space="preserve">Professor </w:t>
      </w:r>
      <w:r w:rsidR="003D19B6">
        <w:rPr>
          <w:sz w:val="40"/>
          <w:szCs w:val="40"/>
        </w:rPr>
        <w:t xml:space="preserve">Mrs. </w:t>
      </w:r>
      <w:r w:rsidR="006E2053">
        <w:rPr>
          <w:sz w:val="40"/>
          <w:szCs w:val="40"/>
        </w:rPr>
        <w:t>Sitara Menon.</w:t>
      </w:r>
    </w:p>
    <w:p w:rsidR="006E2053" w:rsidRDefault="006E2053">
      <w:pPr>
        <w:rPr>
          <w:sz w:val="40"/>
          <w:szCs w:val="40"/>
        </w:rPr>
      </w:pPr>
    </w:p>
    <w:p w:rsidR="00C113BF" w:rsidRDefault="006E2053" w:rsidP="007E0404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After the welcome speech by all the dignitaries, the stage was set for the guest </w:t>
      </w:r>
      <w:r w:rsidR="007E0404">
        <w:rPr>
          <w:sz w:val="40"/>
          <w:szCs w:val="40"/>
        </w:rPr>
        <w:t>speaker, Mr</w:t>
      </w:r>
      <w:r w:rsidR="00C113BF">
        <w:rPr>
          <w:sz w:val="40"/>
          <w:szCs w:val="40"/>
        </w:rPr>
        <w:t>. Swapnil Pange to begin</w:t>
      </w:r>
      <w:r>
        <w:rPr>
          <w:sz w:val="40"/>
          <w:szCs w:val="40"/>
        </w:rPr>
        <w:t xml:space="preserve"> his lecture on career guidance. </w:t>
      </w:r>
    </w:p>
    <w:p w:rsidR="00C113BF" w:rsidRDefault="00C113BF">
      <w:pPr>
        <w:rPr>
          <w:sz w:val="40"/>
          <w:szCs w:val="40"/>
        </w:rPr>
      </w:pPr>
    </w:p>
    <w:p w:rsidR="00C113BF" w:rsidRDefault="00C113BF" w:rsidP="009B61B2">
      <w:pPr>
        <w:jc w:val="both"/>
        <w:rPr>
          <w:sz w:val="40"/>
          <w:szCs w:val="40"/>
        </w:rPr>
      </w:pPr>
      <w:r>
        <w:rPr>
          <w:sz w:val="40"/>
          <w:szCs w:val="40"/>
        </w:rPr>
        <w:t>He explained qualities that an individual must possess in order to take up a</w:t>
      </w:r>
      <w:r w:rsidR="009B61B2">
        <w:rPr>
          <w:sz w:val="40"/>
          <w:szCs w:val="40"/>
        </w:rPr>
        <w:t xml:space="preserve"> profession in psychology. He</w:t>
      </w:r>
      <w:r>
        <w:rPr>
          <w:sz w:val="40"/>
          <w:szCs w:val="40"/>
        </w:rPr>
        <w:t xml:space="preserve"> </w:t>
      </w:r>
      <w:r w:rsidR="009B61B2">
        <w:rPr>
          <w:sz w:val="40"/>
          <w:szCs w:val="40"/>
        </w:rPr>
        <w:t xml:space="preserve">then </w:t>
      </w:r>
      <w:r>
        <w:rPr>
          <w:sz w:val="40"/>
          <w:szCs w:val="40"/>
        </w:rPr>
        <w:t xml:space="preserve">briefed </w:t>
      </w:r>
      <w:r w:rsidR="009B61B2">
        <w:rPr>
          <w:sz w:val="40"/>
          <w:szCs w:val="40"/>
        </w:rPr>
        <w:t xml:space="preserve">about </w:t>
      </w:r>
      <w:r>
        <w:rPr>
          <w:sz w:val="40"/>
          <w:szCs w:val="40"/>
        </w:rPr>
        <w:t>the various types of careers</w:t>
      </w:r>
      <w:r w:rsidR="009B61B2">
        <w:rPr>
          <w:sz w:val="40"/>
          <w:szCs w:val="40"/>
        </w:rPr>
        <w:t xml:space="preserve"> related to </w:t>
      </w:r>
      <w:r>
        <w:rPr>
          <w:sz w:val="40"/>
          <w:szCs w:val="40"/>
        </w:rPr>
        <w:t xml:space="preserve"> several fields in psychology. He also touched upon several branches such as Clinical Psychology, Forensic Psychology etc. and made sure to let all the students know about the var</w:t>
      </w:r>
      <w:r w:rsidR="009B61B2">
        <w:rPr>
          <w:sz w:val="40"/>
          <w:szCs w:val="40"/>
        </w:rPr>
        <w:t>ious universities in India and a</w:t>
      </w:r>
      <w:r>
        <w:rPr>
          <w:sz w:val="40"/>
          <w:szCs w:val="40"/>
        </w:rPr>
        <w:t>broad that provide courses in several fields of the subject.</w:t>
      </w:r>
    </w:p>
    <w:p w:rsidR="00C113BF" w:rsidRDefault="00C113BF">
      <w:pPr>
        <w:rPr>
          <w:sz w:val="40"/>
          <w:szCs w:val="40"/>
        </w:rPr>
      </w:pPr>
    </w:p>
    <w:p w:rsidR="00672C7F" w:rsidRDefault="00C113BF" w:rsidP="006C37FC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He concluded his talk by throwing light on some of the problems that one</w:t>
      </w:r>
      <w:r w:rsidR="00672C7F">
        <w:rPr>
          <w:sz w:val="40"/>
          <w:szCs w:val="40"/>
        </w:rPr>
        <w:t xml:space="preserve"> might face who aspires</w:t>
      </w:r>
      <w:r>
        <w:rPr>
          <w:sz w:val="40"/>
          <w:szCs w:val="40"/>
        </w:rPr>
        <w:t xml:space="preserve"> to build a career in psychology</w:t>
      </w:r>
      <w:r w:rsidR="00672C7F">
        <w:rPr>
          <w:sz w:val="40"/>
          <w:szCs w:val="40"/>
        </w:rPr>
        <w:t xml:space="preserve">. The talk ended with a doubt </w:t>
      </w:r>
      <w:r w:rsidR="006C37FC">
        <w:rPr>
          <w:sz w:val="40"/>
          <w:szCs w:val="40"/>
        </w:rPr>
        <w:t>clearing session</w:t>
      </w:r>
      <w:r w:rsidR="00672C7F">
        <w:rPr>
          <w:sz w:val="40"/>
          <w:szCs w:val="40"/>
        </w:rPr>
        <w:t xml:space="preserve"> in which some students asked questions regarding th</w:t>
      </w:r>
      <w:r w:rsidR="003215CA">
        <w:rPr>
          <w:sz w:val="40"/>
          <w:szCs w:val="40"/>
        </w:rPr>
        <w:t xml:space="preserve">e topic and </w:t>
      </w:r>
      <w:r w:rsidR="006C37FC">
        <w:rPr>
          <w:sz w:val="40"/>
          <w:szCs w:val="40"/>
        </w:rPr>
        <w:t xml:space="preserve">Mr. Pange </w:t>
      </w:r>
      <w:r w:rsidR="003215CA">
        <w:rPr>
          <w:sz w:val="40"/>
          <w:szCs w:val="40"/>
        </w:rPr>
        <w:t>made sure to answe</w:t>
      </w:r>
      <w:r w:rsidR="00672C7F">
        <w:rPr>
          <w:sz w:val="40"/>
          <w:szCs w:val="40"/>
        </w:rPr>
        <w:t xml:space="preserve">r each one of them. </w:t>
      </w:r>
    </w:p>
    <w:p w:rsidR="00672C7F" w:rsidRDefault="00672C7F" w:rsidP="006C37FC">
      <w:pPr>
        <w:jc w:val="both"/>
        <w:rPr>
          <w:sz w:val="40"/>
          <w:szCs w:val="40"/>
        </w:rPr>
      </w:pPr>
      <w:r>
        <w:rPr>
          <w:sz w:val="40"/>
          <w:szCs w:val="40"/>
        </w:rPr>
        <w:t>Overall, the talk session turned out to be a great success as many students participated in the event regardless of the graduate course they have been pursuing.</w:t>
      </w:r>
    </w:p>
    <w:p w:rsidR="003215CA" w:rsidRDefault="00672C7F" w:rsidP="006C37F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The session ended with a Vote of Thanks </w:t>
      </w:r>
      <w:r w:rsidR="006C37FC">
        <w:rPr>
          <w:sz w:val="40"/>
          <w:szCs w:val="40"/>
        </w:rPr>
        <w:t xml:space="preserve">by </w:t>
      </w:r>
      <w:r>
        <w:rPr>
          <w:sz w:val="40"/>
          <w:szCs w:val="40"/>
        </w:rPr>
        <w:t xml:space="preserve">Miss. Threza Paul, a student of TYBA Psychology. </w:t>
      </w:r>
    </w:p>
    <w:p w:rsidR="003215CA" w:rsidRDefault="003215CA" w:rsidP="006C37FC">
      <w:pPr>
        <w:jc w:val="both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113BF" w:rsidRDefault="002E6819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w:drawing>
          <wp:inline distT="0" distB="0" distL="0" distR="0">
            <wp:extent cx="6030875" cy="4667693"/>
            <wp:effectExtent l="19050" t="0" r="7975" b="0"/>
            <wp:docPr id="15" name="Picture 14" descr="IMG-201901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2-WA0019.jpg"/>
                    <pic:cNvPicPr/>
                  </pic:nvPicPr>
                  <pic:blipFill>
                    <a:blip r:embed="rId12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815" cy="467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1B" w:rsidRDefault="00E55D1B">
      <w:pPr>
        <w:rPr>
          <w:sz w:val="40"/>
          <w:szCs w:val="40"/>
        </w:rPr>
      </w:pPr>
    </w:p>
    <w:p w:rsidR="002E6819" w:rsidRDefault="002E6819">
      <w:pPr>
        <w:rPr>
          <w:sz w:val="40"/>
          <w:szCs w:val="40"/>
        </w:rPr>
      </w:pPr>
    </w:p>
    <w:p w:rsidR="002E6819" w:rsidRDefault="002E6819">
      <w:pPr>
        <w:rPr>
          <w:sz w:val="40"/>
          <w:szCs w:val="40"/>
        </w:rPr>
      </w:pPr>
    </w:p>
    <w:p w:rsidR="002E6819" w:rsidRDefault="002E6819">
      <w:pPr>
        <w:rPr>
          <w:sz w:val="40"/>
          <w:szCs w:val="40"/>
        </w:rPr>
      </w:pPr>
    </w:p>
    <w:p w:rsidR="002E6819" w:rsidRDefault="0003787F">
      <w:pPr>
        <w:rPr>
          <w:sz w:val="40"/>
          <w:szCs w:val="40"/>
        </w:rPr>
      </w:pPr>
      <w:r w:rsidRPr="0003787F">
        <w:rPr>
          <w:noProof/>
          <w:sz w:val="40"/>
          <w:szCs w:val="40"/>
          <w:lang w:val="en-US"/>
        </w:rPr>
        <w:lastRenderedPageBreak/>
        <w:drawing>
          <wp:inline distT="0" distB="0" distL="0" distR="0">
            <wp:extent cx="5724909" cy="4199861"/>
            <wp:effectExtent l="19050" t="0" r="9141" b="0"/>
            <wp:docPr id="21" name="Picture 15" descr="IMG-201901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2-WA002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819" w:rsidRDefault="002E6819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w:drawing>
          <wp:inline distT="0" distB="0" distL="0" distR="0">
            <wp:extent cx="5726179" cy="5411972"/>
            <wp:effectExtent l="19050" t="0" r="7871" b="0"/>
            <wp:docPr id="17" name="Picture 16" descr="IMG-201901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2-WA001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819" w:rsidRDefault="002E6819">
      <w:pPr>
        <w:rPr>
          <w:sz w:val="40"/>
          <w:szCs w:val="40"/>
        </w:rPr>
      </w:pPr>
    </w:p>
    <w:p w:rsidR="002E6819" w:rsidRDefault="002E6819">
      <w:pPr>
        <w:rPr>
          <w:sz w:val="40"/>
          <w:szCs w:val="40"/>
        </w:rPr>
      </w:pPr>
    </w:p>
    <w:p w:rsidR="002E6819" w:rsidRDefault="002E6819">
      <w:pPr>
        <w:rPr>
          <w:sz w:val="40"/>
          <w:szCs w:val="40"/>
        </w:rPr>
      </w:pPr>
    </w:p>
    <w:p w:rsidR="0003787F" w:rsidRDefault="0003787F">
      <w:pPr>
        <w:rPr>
          <w:sz w:val="40"/>
          <w:szCs w:val="40"/>
        </w:rPr>
      </w:pPr>
    </w:p>
    <w:p w:rsidR="0003787F" w:rsidRDefault="0003787F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w:drawing>
          <wp:inline distT="0" distB="0" distL="0" distR="0">
            <wp:extent cx="6042941" cy="5453739"/>
            <wp:effectExtent l="19050" t="0" r="0" b="0"/>
            <wp:docPr id="19" name="Picture 18" descr="IMG-201901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2-WA0018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8567" cy="545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87F" w:rsidRDefault="0003787F">
      <w:pPr>
        <w:rPr>
          <w:sz w:val="40"/>
          <w:szCs w:val="40"/>
        </w:rPr>
      </w:pPr>
    </w:p>
    <w:p w:rsidR="0003787F" w:rsidRDefault="0003787F">
      <w:pPr>
        <w:rPr>
          <w:sz w:val="40"/>
          <w:szCs w:val="40"/>
        </w:rPr>
      </w:pPr>
    </w:p>
    <w:p w:rsidR="00E55D1B" w:rsidRPr="00386619" w:rsidRDefault="00E55D1B">
      <w:pPr>
        <w:rPr>
          <w:sz w:val="40"/>
          <w:szCs w:val="40"/>
        </w:rPr>
      </w:pPr>
    </w:p>
    <w:p w:rsidR="00386619" w:rsidRPr="00386619" w:rsidRDefault="00386619">
      <w:pPr>
        <w:rPr>
          <w:sz w:val="48"/>
          <w:szCs w:val="48"/>
          <w:u w:val="single"/>
        </w:rPr>
      </w:pPr>
      <w:bookmarkStart w:id="0" w:name="_GoBack"/>
      <w:bookmarkEnd w:id="0"/>
    </w:p>
    <w:sectPr w:rsidR="00386619" w:rsidRPr="00386619" w:rsidSect="00905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92" w:rsidRDefault="00D95F92" w:rsidP="007262D8">
      <w:pPr>
        <w:spacing w:after="0" w:line="240" w:lineRule="auto"/>
      </w:pPr>
      <w:r>
        <w:separator/>
      </w:r>
    </w:p>
  </w:endnote>
  <w:endnote w:type="continuationSeparator" w:id="0">
    <w:p w:rsidR="00D95F92" w:rsidRDefault="00D95F92" w:rsidP="007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92" w:rsidRDefault="00D95F92" w:rsidP="007262D8">
      <w:pPr>
        <w:spacing w:after="0" w:line="240" w:lineRule="auto"/>
      </w:pPr>
      <w:r>
        <w:separator/>
      </w:r>
    </w:p>
  </w:footnote>
  <w:footnote w:type="continuationSeparator" w:id="0">
    <w:p w:rsidR="00D95F92" w:rsidRDefault="00D95F92" w:rsidP="00726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6F"/>
    <w:rsid w:val="00013171"/>
    <w:rsid w:val="0003787F"/>
    <w:rsid w:val="00274772"/>
    <w:rsid w:val="00274D1D"/>
    <w:rsid w:val="002E6819"/>
    <w:rsid w:val="003215CA"/>
    <w:rsid w:val="00386619"/>
    <w:rsid w:val="003D19B6"/>
    <w:rsid w:val="003E155F"/>
    <w:rsid w:val="005A5DE4"/>
    <w:rsid w:val="00672C7F"/>
    <w:rsid w:val="006C37FC"/>
    <w:rsid w:val="006E2053"/>
    <w:rsid w:val="007262D8"/>
    <w:rsid w:val="00733A6B"/>
    <w:rsid w:val="007E0404"/>
    <w:rsid w:val="00813C40"/>
    <w:rsid w:val="00894F5A"/>
    <w:rsid w:val="00905915"/>
    <w:rsid w:val="009B61B2"/>
    <w:rsid w:val="00A4016F"/>
    <w:rsid w:val="00B65D63"/>
    <w:rsid w:val="00B66D87"/>
    <w:rsid w:val="00BE62EB"/>
    <w:rsid w:val="00C113BF"/>
    <w:rsid w:val="00CB1A9D"/>
    <w:rsid w:val="00CC74EE"/>
    <w:rsid w:val="00D95F92"/>
    <w:rsid w:val="00DD4A62"/>
    <w:rsid w:val="00E55D1B"/>
    <w:rsid w:val="00EB5011"/>
    <w:rsid w:val="00F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88285-F8B3-4077-8DFB-01098E44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2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2D8"/>
  </w:style>
  <w:style w:type="paragraph" w:styleId="Footer">
    <w:name w:val="footer"/>
    <w:basedOn w:val="Normal"/>
    <w:link w:val="FooterChar"/>
    <w:uiPriority w:val="99"/>
    <w:semiHidden/>
    <w:unhideWhenUsed/>
    <w:rsid w:val="0072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CONTENT</a:t>
            </a:r>
            <a:r>
              <a:rPr lang="en-US" baseline="0"/>
              <a:t> OF THE TALK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excellent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0.70580000000000032</c:v>
                </c:pt>
                <c:pt idx="1">
                  <c:v>0.27450000000000002</c:v>
                </c:pt>
                <c:pt idx="2">
                  <c:v>1.9599999999999999E-2</c:v>
                </c:pt>
                <c:pt idx="3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5819904"/>
        <c:axId val="425819512"/>
      </c:barChart>
      <c:catAx>
        <c:axId val="425819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RESPONSE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25819512"/>
        <c:crosses val="autoZero"/>
        <c:auto val="1"/>
        <c:lblAlgn val="ctr"/>
        <c:lblOffset val="100"/>
        <c:noMultiLvlLbl val="0"/>
      </c:catAx>
      <c:valAx>
        <c:axId val="425819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PERCENTAGE </a:t>
                </a:r>
                <a:r>
                  <a:rPr lang="en-IN" baseline="0"/>
                  <a:t> OF RESPONSES </a:t>
                </a:r>
                <a:endParaRPr lang="en-IN"/>
              </a:p>
            </c:rich>
          </c:tx>
          <c:overlay val="0"/>
        </c:title>
        <c:numFmt formatCode="0.00%" sourceLinked="1"/>
        <c:majorTickMark val="out"/>
        <c:minorTickMark val="none"/>
        <c:tickLblPos val="nextTo"/>
        <c:crossAx val="425819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CONDUC</a:t>
            </a:r>
            <a:r>
              <a:rPr lang="en-US" baseline="0"/>
              <a:t>T OF THE TALK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Excellent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0.76470000000000016</c:v>
                </c:pt>
                <c:pt idx="1">
                  <c:v>0.21560000000000001</c:v>
                </c:pt>
                <c:pt idx="2">
                  <c:v>1.9599999999999999E-2</c:v>
                </c:pt>
                <c:pt idx="3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5816768"/>
        <c:axId val="425873912"/>
      </c:barChart>
      <c:catAx>
        <c:axId val="4258167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RESPONSES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25873912"/>
        <c:crosses val="autoZero"/>
        <c:auto val="1"/>
        <c:lblAlgn val="ctr"/>
        <c:lblOffset val="100"/>
        <c:noMultiLvlLbl val="0"/>
      </c:catAx>
      <c:valAx>
        <c:axId val="425873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PERCENTAGE</a:t>
                </a:r>
                <a:r>
                  <a:rPr lang="en-IN" baseline="0"/>
                  <a:t> OF RESPONSES</a:t>
                </a:r>
                <a:endParaRPr lang="en-IN"/>
              </a:p>
            </c:rich>
          </c:tx>
          <c:overlay val="0"/>
        </c:title>
        <c:numFmt formatCode="0.00%" sourceLinked="1"/>
        <c:majorTickMark val="out"/>
        <c:minorTickMark val="none"/>
        <c:tickLblPos val="nextTo"/>
        <c:crossAx val="425816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INTERACTIVE</a:t>
            </a:r>
            <a:r>
              <a:rPr lang="en-US" baseline="0"/>
              <a:t> SESSION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Excellent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0.37250000000000016</c:v>
                </c:pt>
                <c:pt idx="1">
                  <c:v>0.50980000000000003</c:v>
                </c:pt>
                <c:pt idx="2">
                  <c:v>9.8000000000000059E-2</c:v>
                </c:pt>
                <c:pt idx="3">
                  <c:v>1.9599999999999999E-2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5874304"/>
        <c:axId val="339021136"/>
      </c:barChart>
      <c:catAx>
        <c:axId val="425874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RESPONSES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339021136"/>
        <c:crosses val="autoZero"/>
        <c:auto val="1"/>
        <c:lblAlgn val="ctr"/>
        <c:lblOffset val="100"/>
        <c:noMultiLvlLbl val="0"/>
      </c:catAx>
      <c:valAx>
        <c:axId val="3390211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PERCENTAGE</a:t>
                </a:r>
                <a:r>
                  <a:rPr lang="en-IN" baseline="0"/>
                  <a:t> OF RESPONSES</a:t>
                </a:r>
                <a:endParaRPr lang="en-IN"/>
              </a:p>
            </c:rich>
          </c:tx>
          <c:overlay val="0"/>
        </c:title>
        <c:numFmt formatCode="0.00%" sourceLinked="1"/>
        <c:majorTickMark val="out"/>
        <c:minorTickMark val="none"/>
        <c:tickLblPos val="nextTo"/>
        <c:crossAx val="425874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TIME MANAGEMENT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Excellent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0.45090000000000002</c:v>
                </c:pt>
                <c:pt idx="1">
                  <c:v>0.39210000000000006</c:v>
                </c:pt>
                <c:pt idx="2">
                  <c:v>0.15680000000000002</c:v>
                </c:pt>
                <c:pt idx="3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1301224"/>
        <c:axId val="421300440"/>
      </c:barChart>
      <c:catAx>
        <c:axId val="421301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RESPONSES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21300440"/>
        <c:crosses val="autoZero"/>
        <c:auto val="1"/>
        <c:lblAlgn val="ctr"/>
        <c:lblOffset val="100"/>
        <c:noMultiLvlLbl val="0"/>
      </c:catAx>
      <c:valAx>
        <c:axId val="4213004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 PERCENTAGE</a:t>
                </a:r>
                <a:r>
                  <a:rPr lang="en-IN" baseline="0"/>
                  <a:t> OF RESPONSES</a:t>
                </a:r>
                <a:endParaRPr lang="en-IN"/>
              </a:p>
            </c:rich>
          </c:tx>
          <c:overlay val="0"/>
        </c:title>
        <c:numFmt formatCode="0.00%" sourceLinked="1"/>
        <c:majorTickMark val="out"/>
        <c:minorTickMark val="none"/>
        <c:tickLblPos val="nextTo"/>
        <c:crossAx val="421301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OVERALL</a:t>
            </a:r>
            <a:r>
              <a:rPr lang="en-US" baseline="0"/>
              <a:t> IMPRESSION OF THE RESOURCE PERSON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Excellent</c:v>
                </c:pt>
                <c:pt idx="1">
                  <c:v>Good</c:v>
                </c:pt>
                <c:pt idx="2">
                  <c:v>Satisfactory</c:v>
                </c:pt>
                <c:pt idx="3">
                  <c:v>Not Satisfactory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0.7843</c:v>
                </c:pt>
                <c:pt idx="1">
                  <c:v>0.21560000000000001</c:v>
                </c:pt>
                <c:pt idx="2" formatCode="0%">
                  <c:v>0</c:v>
                </c:pt>
                <c:pt idx="3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153352"/>
        <c:axId val="277495432"/>
      </c:barChart>
      <c:catAx>
        <c:axId val="422153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RESPONSES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77495432"/>
        <c:crosses val="autoZero"/>
        <c:auto val="1"/>
        <c:lblAlgn val="ctr"/>
        <c:lblOffset val="100"/>
        <c:noMultiLvlLbl val="0"/>
      </c:catAx>
      <c:valAx>
        <c:axId val="277495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PERCENTAGE</a:t>
                </a:r>
                <a:r>
                  <a:rPr lang="en-IN" baseline="0"/>
                  <a:t> OF RESPONSES</a:t>
                </a:r>
                <a:endParaRPr lang="en-IN"/>
              </a:p>
            </c:rich>
          </c:tx>
          <c:overlay val="0"/>
        </c:title>
        <c:numFmt formatCode="0.00%" sourceLinked="1"/>
        <c:majorTickMark val="out"/>
        <c:minorTickMark val="none"/>
        <c:tickLblPos val="nextTo"/>
        <c:crossAx val="422153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GRADE</a:t>
            </a:r>
            <a:r>
              <a:rPr lang="en-US" baseline="0"/>
              <a:t> SCALE FROM 1-10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0.00%">
                  <c:v>1.9599999999999999E-2</c:v>
                </c:pt>
                <c:pt idx="6" formatCode="0.00%">
                  <c:v>5.8800000000000005E-2</c:v>
                </c:pt>
                <c:pt idx="7" formatCode="0.00%">
                  <c:v>0.31370000000000003</c:v>
                </c:pt>
                <c:pt idx="8" formatCode="0.00%">
                  <c:v>0.29410000000000003</c:v>
                </c:pt>
                <c:pt idx="9" formatCode="0.00%">
                  <c:v>0.31370000000000003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6719624"/>
        <c:axId val="421193616"/>
      </c:barChart>
      <c:catAx>
        <c:axId val="336719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RATINGS</a:t>
                </a:r>
                <a:r>
                  <a:rPr lang="en-IN" baseline="0"/>
                  <a:t> BY STUDENTS </a:t>
                </a:r>
                <a:endParaRPr lang="en-IN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21193616"/>
        <c:crosses val="autoZero"/>
        <c:auto val="1"/>
        <c:lblAlgn val="ctr"/>
        <c:lblOffset val="100"/>
        <c:noMultiLvlLbl val="0"/>
      </c:catAx>
      <c:valAx>
        <c:axId val="42119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719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Chandran</dc:creator>
  <cp:lastModifiedBy>COMP1</cp:lastModifiedBy>
  <cp:revision>2</cp:revision>
  <dcterms:created xsi:type="dcterms:W3CDTF">2019-02-14T08:23:00Z</dcterms:created>
  <dcterms:modified xsi:type="dcterms:W3CDTF">2019-02-14T08:23:00Z</dcterms:modified>
</cp:coreProperties>
</file>